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235"/>
        <w:gridCol w:w="5984"/>
        <w:gridCol w:w="4428"/>
      </w:tblGrid>
      <w:tr w:rsidR="00A44756" w:rsidRPr="00AE0E88" w:rsidTr="00A44756">
        <w:tc>
          <w:tcPr>
            <w:tcW w:w="186" w:type="pct"/>
          </w:tcPr>
          <w:p w:rsidR="00A44756" w:rsidRPr="000C24BA" w:rsidRDefault="00A44756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Component/Feature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562" w:type="pct"/>
          </w:tcPr>
          <w:p w:rsidR="00A44756" w:rsidRPr="000C24BA" w:rsidRDefault="00A44756" w:rsidP="003D6F8F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Additional areas of interest/questions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Educational attainment (E-portfolio)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Exams and competences logging.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bookmarkStart w:id="0" w:name="_GoBack" w:colFirst="3" w:colLast="3"/>
            <w:r w:rsidRPr="000C24BA">
              <w:rPr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Assessment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recording and reporting of the entire assessment pathway.  From preparation to final outcome. This will link to Revalidation.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bookmarkEnd w:id="0"/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Case management/Concerns log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Links to Revalidation (component 17). 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This is the ability of local offices to record any concerns against a trainee record.  This will be linked to the Revalidation function. 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4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Study leave recording and tracking</w:t>
            </w:r>
          </w:p>
        </w:tc>
        <w:tc>
          <w:tcPr>
            <w:tcW w:w="2111" w:type="pct"/>
          </w:tcPr>
          <w:p w:rsidR="00A44756" w:rsidRPr="000C24BA" w:rsidRDefault="00A44756" w:rsidP="00FC635D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Record study leave a trainee or trainer has taken and the funding related to each study leave episode. This can be courses, training sessions or study leave as we currently know it.  </w:t>
            </w:r>
          </w:p>
          <w:p w:rsidR="00A44756" w:rsidRPr="000C24BA" w:rsidRDefault="00A44756" w:rsidP="00FC635D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Capture what was undertaken and when.</w:t>
            </w:r>
          </w:p>
        </w:tc>
        <w:tc>
          <w:tcPr>
            <w:tcW w:w="1562" w:type="pct"/>
          </w:tcPr>
          <w:p w:rsidR="00A44756" w:rsidRPr="000C24BA" w:rsidRDefault="00A44756" w:rsidP="00FC635D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Consider trainee access and local team access and responsibilities. 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i/>
                <w:sz w:val="20"/>
                <w:szCs w:val="20"/>
              </w:rPr>
            </w:pPr>
            <w:r w:rsidRPr="000C24B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i/>
                <w:sz w:val="20"/>
                <w:szCs w:val="20"/>
              </w:rPr>
            </w:pPr>
            <w:r w:rsidRPr="000C24BA">
              <w:rPr>
                <w:i/>
                <w:sz w:val="20"/>
                <w:szCs w:val="20"/>
              </w:rPr>
              <w:t>Trainee finance</w:t>
            </w:r>
          </w:p>
        </w:tc>
        <w:tc>
          <w:tcPr>
            <w:tcW w:w="2111" w:type="pct"/>
          </w:tcPr>
          <w:p w:rsidR="00A44756" w:rsidRPr="000C24BA" w:rsidRDefault="00A44756" w:rsidP="008D12B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 quasi component that links with many other components so may not necessarily be one overall component – rather it could be a part of other components e.g. Post management, study leave, placement management, relocation expenses.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6</w:t>
            </w:r>
          </w:p>
        </w:tc>
        <w:tc>
          <w:tcPr>
            <w:tcW w:w="1141" w:type="pct"/>
          </w:tcPr>
          <w:p w:rsidR="00A44756" w:rsidRPr="000C24BA" w:rsidRDefault="00844D3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Learner Record</w:t>
            </w:r>
          </w:p>
        </w:tc>
        <w:tc>
          <w:tcPr>
            <w:tcW w:w="2111" w:type="pct"/>
          </w:tcPr>
          <w:p w:rsidR="0058779C" w:rsidRPr="000C24BA" w:rsidRDefault="008A3CA5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The TIS Output Specification calls this area the </w:t>
            </w:r>
            <w:r w:rsidR="00844D3C" w:rsidRPr="000C24BA">
              <w:rPr>
                <w:sz w:val="20"/>
                <w:szCs w:val="20"/>
              </w:rPr>
              <w:t>Learner Record and details the requirement for a Person Type category to differentiate between the categories of person record.</w:t>
            </w:r>
            <w:r w:rsidRPr="000C24BA">
              <w:rPr>
                <w:sz w:val="20"/>
                <w:szCs w:val="20"/>
              </w:rPr>
              <w:t xml:space="preserve"> </w:t>
            </w:r>
            <w:r w:rsidR="0058779C" w:rsidRPr="000C24BA">
              <w:rPr>
                <w:sz w:val="20"/>
                <w:szCs w:val="20"/>
              </w:rPr>
              <w:t xml:space="preserve"> This will contain the core dataset of information including :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Personal name details, including legal and “used” surname.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Personal contact details, such as home address, telephone and email and email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Equality and diversity and other sensitive personal data as defin</w:t>
            </w:r>
            <w:r w:rsidR="00AD3217" w:rsidRPr="000C24BA">
              <w:rPr>
                <w:rFonts w:asciiTheme="minorHAnsi" w:hAnsiTheme="minorHAnsi"/>
                <w:sz w:val="20"/>
                <w:szCs w:val="20"/>
              </w:rPr>
              <w:t>ed under the Data Protection Act (protected characteristics).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Professional registration details, noting that in some cases these may be linked with regulators (e.g. GMC).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Educational qualifications and achievements.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Unique ID numbers, such as HEI references, NI number and other attributes.</w:t>
            </w:r>
          </w:p>
          <w:p w:rsidR="0058779C" w:rsidRPr="000C24BA" w:rsidRDefault="0058779C" w:rsidP="0058779C">
            <w:pPr>
              <w:pStyle w:val="RPN2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Contract information e.g. WTE and other details pertaining to the “self”, supernumerary.</w:t>
            </w:r>
          </w:p>
          <w:p w:rsidR="00A44756" w:rsidRPr="000C24BA" w:rsidRDefault="0058779C" w:rsidP="005877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Immigration status</w:t>
            </w:r>
            <w:r w:rsidR="00A44756" w:rsidRPr="000C24BA">
              <w:rPr>
                <w:sz w:val="20"/>
                <w:szCs w:val="20"/>
              </w:rPr>
              <w:t xml:space="preserve"> </w:t>
            </w:r>
            <w:r w:rsidR="0061291A" w:rsidRPr="000C24BA">
              <w:rPr>
                <w:sz w:val="20"/>
                <w:szCs w:val="20"/>
              </w:rPr>
              <w:t>(t</w:t>
            </w:r>
            <w:r w:rsidR="0061291A" w:rsidRPr="000C24BA">
              <w:rPr>
                <w:sz w:val="20"/>
                <w:szCs w:val="20"/>
              </w:rPr>
              <w:t>he system will manage a process for supporting Tier 2 sponsored directly managed learners</w:t>
            </w:r>
            <w:r w:rsidR="0061291A" w:rsidRPr="000C24BA">
              <w:rPr>
                <w:sz w:val="20"/>
                <w:szCs w:val="20"/>
              </w:rPr>
              <w:t>)</w:t>
            </w:r>
            <w:r w:rsidR="0061291A" w:rsidRPr="000C24BA">
              <w:rPr>
                <w:sz w:val="20"/>
                <w:szCs w:val="20"/>
              </w:rPr>
              <w:t>.</w:t>
            </w:r>
          </w:p>
          <w:p w:rsidR="000D04A4" w:rsidRPr="000C24BA" w:rsidRDefault="000D04A4" w:rsidP="005877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The system will support processes that may change the “state” of </w:t>
            </w:r>
            <w:r w:rsidRPr="000C24BA">
              <w:rPr>
                <w:sz w:val="20"/>
                <w:szCs w:val="20"/>
              </w:rPr>
              <w:lastRenderedPageBreak/>
              <w:t>the person record</w:t>
            </w:r>
            <w:r w:rsidRPr="000C24BA">
              <w:rPr>
                <w:sz w:val="20"/>
                <w:szCs w:val="20"/>
              </w:rPr>
              <w:t xml:space="preserve"> i.e. </w:t>
            </w:r>
            <w:r w:rsidRPr="000C24BA">
              <w:rPr>
                <w:sz w:val="20"/>
                <w:szCs w:val="20"/>
              </w:rPr>
              <w:t>out-of-programme, or to change to part-time working</w:t>
            </w:r>
            <w:r w:rsidRPr="000C24BA">
              <w:rPr>
                <w:sz w:val="20"/>
                <w:szCs w:val="20"/>
              </w:rPr>
              <w:t xml:space="preserve"> </w:t>
            </w:r>
          </w:p>
          <w:p w:rsidR="00A460F8" w:rsidRPr="000C24BA" w:rsidRDefault="00A460F8" w:rsidP="00A460F8">
            <w:pPr>
              <w:rPr>
                <w:sz w:val="20"/>
                <w:szCs w:val="20"/>
              </w:rPr>
            </w:pPr>
          </w:p>
          <w:p w:rsidR="00A44756" w:rsidRPr="000C24BA" w:rsidRDefault="000370CC" w:rsidP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Will need to connect person to programme and from there to posts (as a placement), to assessments</w:t>
            </w:r>
            <w:r w:rsidR="00554F7E" w:rsidRPr="000C24BA">
              <w:rPr>
                <w:sz w:val="20"/>
                <w:szCs w:val="20"/>
              </w:rPr>
              <w:t xml:space="preserve"> and</w:t>
            </w:r>
            <w:r w:rsidRPr="000C24BA">
              <w:rPr>
                <w:sz w:val="20"/>
                <w:szCs w:val="20"/>
              </w:rPr>
              <w:t xml:space="preserve"> Revalidation. </w:t>
            </w:r>
          </w:p>
          <w:p w:rsidR="00554F7E" w:rsidRPr="000C24BA" w:rsidRDefault="00554F7E" w:rsidP="000370CC">
            <w:pPr>
              <w:rPr>
                <w:sz w:val="20"/>
                <w:szCs w:val="20"/>
              </w:rPr>
            </w:pPr>
          </w:p>
          <w:p w:rsidR="00554F7E" w:rsidRPr="000C24BA" w:rsidRDefault="00554F7E" w:rsidP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For directly managed learners, a process to verify a photograph and other documents to assist in pre-employment checks.</w:t>
            </w:r>
          </w:p>
          <w:p w:rsidR="00500C88" w:rsidRPr="000C24BA" w:rsidRDefault="00500C88" w:rsidP="000370CC">
            <w:pPr>
              <w:rPr>
                <w:sz w:val="20"/>
                <w:szCs w:val="20"/>
              </w:rPr>
            </w:pPr>
          </w:p>
          <w:p w:rsidR="00AD3217" w:rsidRPr="000C24BA" w:rsidRDefault="00500C88" w:rsidP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TIS will be </w:t>
            </w:r>
            <w:r w:rsidR="002B79D2" w:rsidRPr="000C24BA">
              <w:rPr>
                <w:sz w:val="20"/>
                <w:szCs w:val="20"/>
              </w:rPr>
              <w:t xml:space="preserve">focussed on </w:t>
            </w:r>
            <w:r w:rsidRPr="000C24BA">
              <w:rPr>
                <w:sz w:val="20"/>
                <w:szCs w:val="20"/>
              </w:rPr>
              <w:t>a multi professional workforce meaning that the structure should be flexible enough to manage the information of professions in addition to doctors and dentists i.e. nurse, midwives</w:t>
            </w:r>
            <w:r w:rsidR="002B79D2" w:rsidRPr="000C24BA">
              <w:rPr>
                <w:sz w:val="20"/>
                <w:szCs w:val="20"/>
              </w:rPr>
              <w:t xml:space="preserve"> and</w:t>
            </w:r>
            <w:r w:rsidRPr="000C24BA">
              <w:rPr>
                <w:sz w:val="20"/>
                <w:szCs w:val="20"/>
              </w:rPr>
              <w:t xml:space="preserve"> pharmacists. </w:t>
            </w:r>
          </w:p>
          <w:p w:rsidR="00500C88" w:rsidRPr="000C24BA" w:rsidRDefault="00AD3217" w:rsidP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E</w:t>
            </w:r>
            <w:r w:rsidR="00500C88" w:rsidRPr="000C24BA">
              <w:rPr>
                <w:sz w:val="20"/>
                <w:szCs w:val="20"/>
              </w:rPr>
              <w:t xml:space="preserve">ach person record </w:t>
            </w:r>
            <w:r w:rsidRPr="000C24BA">
              <w:rPr>
                <w:sz w:val="20"/>
                <w:szCs w:val="20"/>
              </w:rPr>
              <w:t>should be</w:t>
            </w:r>
            <w:r w:rsidR="00500C88" w:rsidRPr="000C24BA">
              <w:rPr>
                <w:sz w:val="20"/>
                <w:szCs w:val="20"/>
              </w:rPr>
              <w:t xml:space="preserve"> appropriately associated to the business processes designed to support that person</w:t>
            </w:r>
            <w:r w:rsidR="00500C88" w:rsidRPr="000C24BA">
              <w:rPr>
                <w:sz w:val="20"/>
                <w:szCs w:val="20"/>
              </w:rPr>
              <w:t xml:space="preserve"> such as a particular assessment function related to their programme of training.</w:t>
            </w:r>
            <w:r w:rsidR="002B79D2" w:rsidRPr="000C24BA">
              <w:rPr>
                <w:sz w:val="20"/>
                <w:szCs w:val="20"/>
              </w:rPr>
              <w:t xml:space="preserve"> Trainee type records can therefore be placed into subcategories of Learner Type.</w:t>
            </w:r>
            <w:r w:rsidR="00844D3C" w:rsidRPr="000C24BA">
              <w:rPr>
                <w:sz w:val="20"/>
                <w:szCs w:val="20"/>
              </w:rPr>
              <w:t xml:space="preserve">  Depending on the learner type the person record should be able to manage the sometimes complex training pathways of HEE learners. </w:t>
            </w:r>
            <w:r w:rsidRPr="000C24BA">
              <w:rPr>
                <w:sz w:val="20"/>
                <w:szCs w:val="20"/>
              </w:rPr>
              <w:t>The person and learner type can dictate the programm</w:t>
            </w:r>
            <w:r w:rsidR="00403236" w:rsidRPr="000C24BA">
              <w:rPr>
                <w:sz w:val="20"/>
                <w:szCs w:val="20"/>
              </w:rPr>
              <w:t>es a person can be connected to.</w:t>
            </w:r>
          </w:p>
          <w:p w:rsidR="00403236" w:rsidRPr="000C24BA" w:rsidRDefault="00403236" w:rsidP="000370CC">
            <w:pPr>
              <w:rPr>
                <w:sz w:val="20"/>
                <w:szCs w:val="20"/>
              </w:rPr>
            </w:pPr>
          </w:p>
          <w:p w:rsidR="00403236" w:rsidRPr="000C24BA" w:rsidRDefault="00403236" w:rsidP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Related to programmes, the system should:</w:t>
            </w:r>
          </w:p>
          <w:p w:rsidR="00403236" w:rsidRPr="000C24BA" w:rsidRDefault="00403236" w:rsidP="004032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Identify ‘orphan’ learner records.  Those learner records not attached to a programme.</w:t>
            </w:r>
          </w:p>
          <w:p w:rsidR="00403236" w:rsidRPr="000C24BA" w:rsidRDefault="00403236" w:rsidP="004032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C24BA">
              <w:rPr>
                <w:sz w:val="20"/>
                <w:szCs w:val="20"/>
              </w:rPr>
              <w:t>Auto calculate</w:t>
            </w:r>
            <w:proofErr w:type="gramEnd"/>
            <w:r w:rsidRPr="000C24BA">
              <w:rPr>
                <w:sz w:val="20"/>
                <w:szCs w:val="20"/>
              </w:rPr>
              <w:t xml:space="preserve"> CCT date (dependent on WTE and OOP status).</w:t>
            </w:r>
          </w:p>
          <w:p w:rsidR="00403236" w:rsidRPr="000C24BA" w:rsidRDefault="00403236" w:rsidP="004032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system will detail the accumulated time in training for a learner</w:t>
            </w:r>
            <w:r w:rsidRPr="000C24BA">
              <w:rPr>
                <w:sz w:val="20"/>
                <w:szCs w:val="20"/>
              </w:rPr>
              <w:t>.</w:t>
            </w:r>
          </w:p>
          <w:p w:rsidR="00554F7E" w:rsidRPr="000C24BA" w:rsidRDefault="00554F7E" w:rsidP="000C24B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Will need to finalise list of data items that fall under this category.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Starters and Leavers data </w:t>
            </w:r>
            <w:r w:rsidR="0058779C" w:rsidRPr="000C24BA">
              <w:rPr>
                <w:sz w:val="20"/>
                <w:szCs w:val="20"/>
              </w:rPr>
              <w:t>could</w:t>
            </w:r>
            <w:r w:rsidRPr="000C24BA">
              <w:rPr>
                <w:sz w:val="20"/>
                <w:szCs w:val="20"/>
              </w:rPr>
              <w:t xml:space="preserve"> be captured under Programme information as </w:t>
            </w:r>
            <w:r w:rsidR="0058779C" w:rsidRPr="000C24BA">
              <w:rPr>
                <w:sz w:val="20"/>
                <w:szCs w:val="20"/>
              </w:rPr>
              <w:t xml:space="preserve">could </w:t>
            </w:r>
            <w:r w:rsidRPr="000C24BA">
              <w:rPr>
                <w:sz w:val="20"/>
                <w:szCs w:val="20"/>
              </w:rPr>
              <w:t>Form R Part A and NTN/DRN allocation.</w:t>
            </w:r>
            <w:r w:rsidR="0058779C" w:rsidRPr="000C24BA">
              <w:rPr>
                <w:sz w:val="20"/>
                <w:szCs w:val="20"/>
              </w:rPr>
              <w:t xml:space="preserve"> Equally so could the contract information shown in the details column.</w:t>
            </w:r>
            <w:r w:rsidRPr="000C24BA">
              <w:rPr>
                <w:sz w:val="20"/>
                <w:szCs w:val="20"/>
              </w:rPr>
              <w:t xml:space="preserve"> However </w:t>
            </w:r>
            <w:r w:rsidR="0058779C" w:rsidRPr="000C24BA">
              <w:rPr>
                <w:sz w:val="20"/>
                <w:szCs w:val="20"/>
              </w:rPr>
              <w:t xml:space="preserve">a process for </w:t>
            </w:r>
            <w:r w:rsidRPr="000C24BA">
              <w:rPr>
                <w:sz w:val="20"/>
                <w:szCs w:val="20"/>
              </w:rPr>
              <w:t>the creation and change of status of records from Current to Inactive</w:t>
            </w:r>
            <w:r w:rsidR="0058779C" w:rsidRPr="000C24BA">
              <w:rPr>
                <w:sz w:val="20"/>
                <w:szCs w:val="20"/>
              </w:rPr>
              <w:t xml:space="preserve"> will need to be both built into the system and agreed within HEE</w:t>
            </w:r>
            <w:r w:rsidRPr="000C24BA">
              <w:rPr>
                <w:sz w:val="20"/>
                <w:szCs w:val="20"/>
              </w:rPr>
              <w:t xml:space="preserve">. </w:t>
            </w:r>
          </w:p>
          <w:p w:rsidR="001771CA" w:rsidRPr="000C24BA" w:rsidRDefault="001771CA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TIS Output spec states that ‘</w:t>
            </w:r>
            <w:r w:rsidRPr="000C24BA">
              <w:rPr>
                <w:sz w:val="20"/>
                <w:szCs w:val="20"/>
              </w:rPr>
              <w:t>Equality and diversity information to incl</w:t>
            </w:r>
            <w:r w:rsidRPr="000C24BA">
              <w:rPr>
                <w:sz w:val="20"/>
                <w:szCs w:val="20"/>
              </w:rPr>
              <w:t>ude Northern Irish requirements’. Will need to check if this is still required.</w:t>
            </w:r>
          </w:p>
          <w:p w:rsidR="00A44756" w:rsidRPr="000C24BA" w:rsidRDefault="000D04A4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</w:t>
            </w:r>
            <w:r w:rsidRPr="000C24BA">
              <w:rPr>
                <w:sz w:val="20"/>
                <w:szCs w:val="20"/>
              </w:rPr>
              <w:t xml:space="preserve">his </w:t>
            </w:r>
            <w:r w:rsidRPr="000C24BA">
              <w:rPr>
                <w:sz w:val="20"/>
                <w:szCs w:val="20"/>
              </w:rPr>
              <w:t xml:space="preserve">can </w:t>
            </w:r>
            <w:r w:rsidRPr="000C24BA">
              <w:rPr>
                <w:sz w:val="20"/>
                <w:szCs w:val="20"/>
              </w:rPr>
              <w:t xml:space="preserve">be </w:t>
            </w:r>
            <w:r w:rsidRPr="000C24BA">
              <w:rPr>
                <w:sz w:val="20"/>
                <w:szCs w:val="20"/>
              </w:rPr>
              <w:t>recorded</w:t>
            </w:r>
            <w:r w:rsidRPr="000C24BA">
              <w:rPr>
                <w:sz w:val="20"/>
                <w:szCs w:val="20"/>
              </w:rPr>
              <w:t xml:space="preserve"> in the programme area of the learner record o</w:t>
            </w:r>
            <w:r w:rsidRPr="000C24BA">
              <w:rPr>
                <w:sz w:val="20"/>
                <w:szCs w:val="20"/>
              </w:rPr>
              <w:t>r in the main body of the learner record.</w:t>
            </w:r>
          </w:p>
          <w:p w:rsidR="000D04A4" w:rsidRPr="000C24BA" w:rsidRDefault="000D04A4">
            <w:pPr>
              <w:rPr>
                <w:sz w:val="20"/>
                <w:szCs w:val="20"/>
              </w:rPr>
            </w:pPr>
          </w:p>
          <w:p w:rsidR="00554F7E" w:rsidRPr="000C24BA" w:rsidRDefault="00554F7E">
            <w:pPr>
              <w:rPr>
                <w:sz w:val="20"/>
                <w:szCs w:val="20"/>
              </w:rPr>
            </w:pPr>
          </w:p>
          <w:p w:rsidR="00554F7E" w:rsidRPr="000C24BA" w:rsidRDefault="00554F7E">
            <w:pPr>
              <w:rPr>
                <w:sz w:val="20"/>
                <w:szCs w:val="20"/>
              </w:rPr>
            </w:pPr>
          </w:p>
          <w:p w:rsidR="00554F7E" w:rsidRPr="000C24BA" w:rsidRDefault="00554F7E">
            <w:pPr>
              <w:rPr>
                <w:sz w:val="20"/>
                <w:szCs w:val="20"/>
              </w:rPr>
            </w:pPr>
          </w:p>
          <w:p w:rsidR="002B79D2" w:rsidRPr="000C24BA" w:rsidRDefault="002B79D2">
            <w:pPr>
              <w:rPr>
                <w:sz w:val="20"/>
                <w:szCs w:val="20"/>
              </w:rPr>
            </w:pPr>
          </w:p>
          <w:p w:rsidR="002B79D2" w:rsidRPr="000C24BA" w:rsidRDefault="002B79D2">
            <w:pPr>
              <w:rPr>
                <w:sz w:val="20"/>
                <w:szCs w:val="20"/>
              </w:rPr>
            </w:pPr>
          </w:p>
          <w:p w:rsidR="002B79D2" w:rsidRPr="000C24BA" w:rsidRDefault="002B79D2">
            <w:pPr>
              <w:rPr>
                <w:sz w:val="20"/>
                <w:szCs w:val="20"/>
              </w:rPr>
            </w:pPr>
          </w:p>
          <w:p w:rsidR="002B79D2" w:rsidRPr="000C24BA" w:rsidRDefault="002B79D2">
            <w:pPr>
              <w:rPr>
                <w:sz w:val="20"/>
                <w:szCs w:val="20"/>
              </w:rPr>
            </w:pPr>
          </w:p>
          <w:p w:rsidR="000C24BA" w:rsidRPr="000C24BA" w:rsidRDefault="000C24BA">
            <w:pPr>
              <w:rPr>
                <w:sz w:val="20"/>
                <w:szCs w:val="20"/>
              </w:rPr>
            </w:pPr>
          </w:p>
          <w:p w:rsidR="00554F7E" w:rsidRPr="000C24BA" w:rsidRDefault="00554F7E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Links to an HR function carried out by lead employers in some local offices or to training trust requirements.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41" w:type="pct"/>
          </w:tcPr>
          <w:p w:rsidR="00A44756" w:rsidRPr="000C24BA" w:rsidRDefault="008344B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Trainer record  - Trainer Type of Clinical supervisor</w:t>
            </w:r>
          </w:p>
        </w:tc>
        <w:tc>
          <w:tcPr>
            <w:tcW w:w="2111" w:type="pct"/>
          </w:tcPr>
          <w:p w:rsidR="00A44756" w:rsidRPr="000C24BA" w:rsidRDefault="00A44756" w:rsidP="00885D6B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Separate to Trainer Management (see component 9)</w:t>
            </w:r>
          </w:p>
          <w:p w:rsidR="00A44756" w:rsidRPr="000C24BA" w:rsidRDefault="00A44756" w:rsidP="00885D6B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This component allows the recording of clinical supervisors against a trainee/post or placement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8</w:t>
            </w:r>
          </w:p>
        </w:tc>
        <w:tc>
          <w:tcPr>
            <w:tcW w:w="1141" w:type="pct"/>
          </w:tcPr>
          <w:p w:rsidR="00A44756" w:rsidRPr="000C24BA" w:rsidRDefault="008344B2" w:rsidP="008344B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Trainer record – Trainer Type of </w:t>
            </w:r>
            <w:r w:rsidR="00A44756" w:rsidRPr="000C24BA">
              <w:rPr>
                <w:sz w:val="20"/>
                <w:szCs w:val="20"/>
              </w:rPr>
              <w:t>Educational supervisor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Separate to Trainer Management (see component 9).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This component allows the recording of Educational Supervisors against a trainee.</w:t>
            </w:r>
          </w:p>
        </w:tc>
        <w:tc>
          <w:tcPr>
            <w:tcW w:w="1562" w:type="pct"/>
          </w:tcPr>
          <w:p w:rsidR="00A44756" w:rsidRPr="000C24BA" w:rsidRDefault="00A44756" w:rsidP="00F84D18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Are Educational Supervisors only linked to the trainee or are they recorded against a post?  The duration of the relationship of an educational supervisor with the trainee suggests that it is the </w:t>
            </w:r>
            <w:r w:rsidRPr="000C24BA">
              <w:rPr>
                <w:sz w:val="20"/>
                <w:szCs w:val="20"/>
              </w:rPr>
              <w:lastRenderedPageBreak/>
              <w:t>person to person link that is important.</w:t>
            </w:r>
          </w:p>
          <w:p w:rsidR="00A44756" w:rsidRPr="000C24BA" w:rsidRDefault="00A44756" w:rsidP="00F84D18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Are GP, Foundation and Psychiatry the exceptions?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41" w:type="pct"/>
          </w:tcPr>
          <w:p w:rsidR="00A44756" w:rsidRPr="000C24BA" w:rsidRDefault="00844D3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Trainer record (Trainer management)</w:t>
            </w:r>
          </w:p>
        </w:tc>
        <w:tc>
          <w:tcPr>
            <w:tcW w:w="2111" w:type="pct"/>
          </w:tcPr>
          <w:p w:rsidR="00A44756" w:rsidRPr="000C24BA" w:rsidRDefault="00A44756" w:rsidP="008A3CA5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More detailed view of the trainer population </w:t>
            </w:r>
            <w:proofErr w:type="spellStart"/>
            <w:r w:rsidRPr="000C24BA">
              <w:rPr>
                <w:sz w:val="20"/>
                <w:szCs w:val="20"/>
              </w:rPr>
              <w:t>inc.</w:t>
            </w:r>
            <w:proofErr w:type="spellEnd"/>
            <w:r w:rsidRPr="000C24BA">
              <w:rPr>
                <w:sz w:val="20"/>
                <w:szCs w:val="20"/>
              </w:rPr>
              <w:t xml:space="preserve"> approvals, training etc.</w:t>
            </w:r>
            <w:r w:rsidR="008A3CA5" w:rsidRPr="000C24BA">
              <w:rPr>
                <w:sz w:val="20"/>
                <w:szCs w:val="20"/>
              </w:rPr>
              <w:t xml:space="preserve"> The TIS Output Specification document defines this as</w:t>
            </w:r>
            <w:r w:rsidR="008A3CA5" w:rsidRPr="000C24BA">
              <w:rPr>
                <w:sz w:val="20"/>
                <w:szCs w:val="20"/>
              </w:rPr>
              <w:t xml:space="preserve"> </w:t>
            </w:r>
            <w:r w:rsidR="008A3CA5" w:rsidRPr="000C24BA">
              <w:rPr>
                <w:sz w:val="20"/>
                <w:szCs w:val="20"/>
              </w:rPr>
              <w:t>‘</w:t>
            </w:r>
            <w:r w:rsidR="008A3CA5" w:rsidRPr="000C24BA">
              <w:rPr>
                <w:sz w:val="20"/>
                <w:szCs w:val="20"/>
              </w:rPr>
              <w:t>a person who participates in the management of a learner in a formal support capacity</w:t>
            </w:r>
            <w:r w:rsidR="008A3CA5" w:rsidRPr="000C24BA">
              <w:rPr>
                <w:sz w:val="20"/>
                <w:szCs w:val="20"/>
              </w:rPr>
              <w:t xml:space="preserve">’. 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Not all local offices will capture equal amounts of information on their trainers – look at differences and why they exist.  What can one local office do that another can’t?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Look at differences (if any) of the GP trainer management and the approval of the Psychiatry trainer/supervisor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10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Course Booking  (system)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Ability to organise an event or course.  Includes inviting delegates and speakers, certificates, catering etc.   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Events management?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ARCP room bookings, hospitality arrangements.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Why are so many course booking/event management systems in place in HEE?  What are they and what are the differences between them. Again, what can one do that another can’t and what is needed?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11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Placement management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Support local offices with the placing of trainees into posts = placements. </w:t>
            </w:r>
            <w:r w:rsidR="00BC6CCF" w:rsidRPr="000C24BA">
              <w:rPr>
                <w:sz w:val="20"/>
                <w:szCs w:val="20"/>
              </w:rPr>
              <w:t xml:space="preserve"> Depending on the programme and level of the trainee each post will support the trainee to obtain different competencies.  Much of this knowledge exists in the training programme directors head </w:t>
            </w:r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 w:rsidP="00CF3514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Formerly known as rotation management.</w:t>
            </w:r>
          </w:p>
          <w:p w:rsidR="00A44756" w:rsidRPr="000C24BA" w:rsidRDefault="00A44756" w:rsidP="003D6F8F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Can monitor trainee progression here.</w:t>
            </w:r>
          </w:p>
        </w:tc>
      </w:tr>
      <w:tr w:rsidR="00A44756" w:rsidTr="00A44756">
        <w:trPr>
          <w:trHeight w:val="934"/>
        </w:trPr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12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Post management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Includes post establishment, approvals and funding. Substantive, supernumerary, academic and military – have we missed any?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13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Out of Programme</w:t>
            </w:r>
          </w:p>
        </w:tc>
        <w:tc>
          <w:tcPr>
            <w:tcW w:w="2111" w:type="pct"/>
          </w:tcPr>
          <w:p w:rsidR="00A44756" w:rsidRPr="000C24BA" w:rsidRDefault="000370CC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system will manage out-of-programme activity from application through to completion.  With doctors this links with GMC process</w:t>
            </w:r>
            <w:r w:rsidRPr="000C24BA">
              <w:rPr>
                <w:sz w:val="20"/>
                <w:szCs w:val="20"/>
              </w:rPr>
              <w:t xml:space="preserve"> and is different to absence management (see component 15)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rPr>
          <w:trHeight w:val="446"/>
        </w:trPr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14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Less than full time applications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15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Absence management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Sick leave, career breaks, parental leave.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16</w:t>
            </w:r>
          </w:p>
        </w:tc>
        <w:tc>
          <w:tcPr>
            <w:tcW w:w="1141" w:type="pct"/>
          </w:tcPr>
          <w:p w:rsidR="00A44756" w:rsidRPr="00066BF2" w:rsidRDefault="00A44756">
            <w:pPr>
              <w:rPr>
                <w:sz w:val="20"/>
                <w:szCs w:val="20"/>
              </w:rPr>
            </w:pPr>
            <w:r w:rsidRPr="00066BF2">
              <w:rPr>
                <w:sz w:val="20"/>
                <w:szCs w:val="20"/>
              </w:rPr>
              <w:t>Curriculum management</w:t>
            </w:r>
          </w:p>
        </w:tc>
        <w:tc>
          <w:tcPr>
            <w:tcW w:w="2111" w:type="pct"/>
          </w:tcPr>
          <w:p w:rsidR="00066BF2" w:rsidRPr="00066BF2" w:rsidRDefault="00066BF2" w:rsidP="00066BF2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66BF2">
              <w:rPr>
                <w:rFonts w:asciiTheme="minorHAnsi" w:hAnsiTheme="minorHAnsi"/>
                <w:sz w:val="20"/>
                <w:szCs w:val="20"/>
              </w:rPr>
              <w:t xml:space="preserve">Learners follow a curriculum, or a similar framework that defines their education and training outputs.    Curricula can be locally or nationally defined, or have a mix of local and national.   For some learner-types </w:t>
            </w:r>
            <w:r w:rsidRPr="00066BF2">
              <w:rPr>
                <w:rFonts w:asciiTheme="minorHAnsi" w:hAnsiTheme="minorHAnsi"/>
                <w:sz w:val="20"/>
                <w:szCs w:val="20"/>
              </w:rPr>
              <w:lastRenderedPageBreak/>
              <w:t>the curricula learning objectives will be detailed and outcomes recorded in an e-portfolio system.</w:t>
            </w:r>
            <w:r w:rsidRPr="00066B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6BF2">
              <w:rPr>
                <w:rFonts w:asciiTheme="minorHAnsi" w:hAnsiTheme="minorHAnsi"/>
                <w:sz w:val="20"/>
                <w:szCs w:val="20"/>
              </w:rPr>
              <w:t>Although some components of the curricula requirement are likely to be person-role derived, there is likely to be a core structure.</w:t>
            </w:r>
          </w:p>
          <w:p w:rsidR="00066BF2" w:rsidRPr="00066BF2" w:rsidRDefault="00066BF2" w:rsidP="00066BF2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66BF2">
              <w:rPr>
                <w:rFonts w:asciiTheme="minorHAnsi" w:hAnsiTheme="minorHAnsi"/>
                <w:sz w:val="20"/>
                <w:szCs w:val="20"/>
              </w:rPr>
              <w:t xml:space="preserve">A learner will be on one or more curricula </w:t>
            </w:r>
            <w:r w:rsidRPr="00066BF2">
              <w:rPr>
                <w:rFonts w:asciiTheme="minorHAnsi" w:hAnsiTheme="minorHAnsi"/>
                <w:sz w:val="20"/>
                <w:szCs w:val="20"/>
              </w:rPr>
              <w:t>when</w:t>
            </w:r>
            <w:r w:rsidRPr="00066BF2">
              <w:rPr>
                <w:rFonts w:asciiTheme="minorHAnsi" w:hAnsiTheme="minorHAnsi"/>
                <w:sz w:val="20"/>
                <w:szCs w:val="20"/>
              </w:rPr>
              <w:t xml:space="preserve"> on a training programme.</w:t>
            </w:r>
          </w:p>
          <w:p w:rsidR="00066BF2" w:rsidRPr="00066BF2" w:rsidRDefault="00066BF2">
            <w:pPr>
              <w:rPr>
                <w:sz w:val="20"/>
                <w:szCs w:val="20"/>
              </w:rPr>
            </w:pPr>
          </w:p>
          <w:p w:rsidR="00066BF2" w:rsidRPr="00066BF2" w:rsidRDefault="00066BF2" w:rsidP="00066B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6BF2">
              <w:rPr>
                <w:sz w:val="20"/>
                <w:szCs w:val="20"/>
              </w:rPr>
              <w:t>The system will enable the management of curricula at a local and national level.</w:t>
            </w:r>
          </w:p>
          <w:p w:rsidR="00066BF2" w:rsidRPr="00066BF2" w:rsidRDefault="00066BF2" w:rsidP="00066B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6BF2">
              <w:rPr>
                <w:sz w:val="20"/>
                <w:szCs w:val="20"/>
              </w:rPr>
              <w:t xml:space="preserve">The system will enable the recording of curricula delivery against an individual learner.  </w:t>
            </w:r>
          </w:p>
          <w:p w:rsidR="00066BF2" w:rsidRPr="00066BF2" w:rsidRDefault="00066BF2" w:rsidP="00066B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6BF2">
              <w:rPr>
                <w:sz w:val="20"/>
                <w:szCs w:val="20"/>
              </w:rPr>
              <w:t>The system should make it possible to map elements of the curricula to training posts, including certain generic professional capabilities.</w:t>
            </w:r>
          </w:p>
          <w:p w:rsidR="00066BF2" w:rsidRPr="00066BF2" w:rsidRDefault="00066BF2">
            <w:pPr>
              <w:rPr>
                <w:sz w:val="20"/>
                <w:szCs w:val="20"/>
              </w:rPr>
            </w:pPr>
          </w:p>
          <w:p w:rsidR="00066BF2" w:rsidRPr="00066BF2" w:rsidRDefault="00066BF2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066BF2" w:rsidRDefault="00066BF2" w:rsidP="00066BF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Link to approvals, trainer record, posts, programme.</w:t>
            </w:r>
            <w:r>
              <w:rPr>
                <w:sz w:val="20"/>
                <w:szCs w:val="20"/>
              </w:rPr>
              <w:t xml:space="preserve"> Can also be </w:t>
            </w:r>
            <w:r w:rsidRPr="000C24BA">
              <w:rPr>
                <w:sz w:val="20"/>
                <w:szCs w:val="20"/>
              </w:rPr>
              <w:t>Academic, Dual, sub-</w:t>
            </w:r>
            <w:proofErr w:type="gramStart"/>
            <w:r w:rsidRPr="000C24BA">
              <w:rPr>
                <w:sz w:val="20"/>
                <w:szCs w:val="20"/>
              </w:rPr>
              <w:t>specialty.</w:t>
            </w:r>
            <w:proofErr w:type="gramEnd"/>
          </w:p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Revalidation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18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Reporting, dashboard and analytics.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 w:rsidP="002E3358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Think about what to report on, the level of reporting, knowledge of the operator and where we want to report from.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19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Questionnaires and Surveys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 w:rsidP="000E601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20</w:t>
            </w:r>
          </w:p>
        </w:tc>
        <w:tc>
          <w:tcPr>
            <w:tcW w:w="1141" w:type="pct"/>
          </w:tcPr>
          <w:p w:rsidR="00A44756" w:rsidRPr="000C24BA" w:rsidRDefault="00A44756" w:rsidP="000E601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General principals/good practice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 w:rsidP="005251E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21</w:t>
            </w:r>
          </w:p>
        </w:tc>
        <w:tc>
          <w:tcPr>
            <w:tcW w:w="1141" w:type="pct"/>
          </w:tcPr>
          <w:p w:rsidR="00A44756" w:rsidRPr="000C24BA" w:rsidRDefault="00A44756" w:rsidP="005251E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Non-functional requirements (NFR)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Security, auditing, access platforms etc.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22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Quality</w:t>
            </w:r>
          </w:p>
        </w:tc>
        <w:tc>
          <w:tcPr>
            <w:tcW w:w="211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Need to find out what the Quality teams in local offices do – how (if at all) does this extend to the national teams?</w:t>
            </w:r>
          </w:p>
        </w:tc>
      </w:tr>
      <w:tr w:rsidR="00A460F8" w:rsidTr="00A44756">
        <w:tc>
          <w:tcPr>
            <w:tcW w:w="186" w:type="pct"/>
          </w:tcPr>
          <w:p w:rsidR="00A460F8" w:rsidRPr="000C24BA" w:rsidRDefault="00A460F8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23</w:t>
            </w:r>
          </w:p>
        </w:tc>
        <w:tc>
          <w:tcPr>
            <w:tcW w:w="1141" w:type="pct"/>
          </w:tcPr>
          <w:p w:rsidR="00A460F8" w:rsidRPr="000C24BA" w:rsidRDefault="00A460F8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Programme Management</w:t>
            </w:r>
          </w:p>
        </w:tc>
        <w:tc>
          <w:tcPr>
            <w:tcW w:w="2111" w:type="pct"/>
          </w:tcPr>
          <w:p w:rsidR="00A460F8" w:rsidRPr="000C24BA" w:rsidRDefault="00403236" w:rsidP="0040323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training programme provides the parameters that dictate what happens to a learner and how their education and training is ordered and arranged. This is the curriculum detail</w:t>
            </w:r>
            <w:r w:rsidR="00086B70" w:rsidRPr="000C24BA">
              <w:rPr>
                <w:sz w:val="20"/>
                <w:szCs w:val="20"/>
              </w:rPr>
              <w:t xml:space="preserve"> (see component 16)</w:t>
            </w:r>
            <w:r w:rsidRPr="000C24BA">
              <w:rPr>
                <w:sz w:val="20"/>
                <w:szCs w:val="20"/>
              </w:rPr>
              <w:t xml:space="preserve">. </w:t>
            </w:r>
          </w:p>
          <w:p w:rsidR="003936AB" w:rsidRPr="000C24BA" w:rsidRDefault="003936AB" w:rsidP="0040323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The programme can be simple and linear or more complex depending on its character.</w:t>
            </w:r>
          </w:p>
          <w:p w:rsidR="003936AB" w:rsidRPr="000C24BA" w:rsidRDefault="003936AB" w:rsidP="00403236">
            <w:pPr>
              <w:rPr>
                <w:sz w:val="20"/>
                <w:szCs w:val="20"/>
              </w:rPr>
            </w:pPr>
          </w:p>
          <w:p w:rsidR="003936AB" w:rsidRPr="000C24BA" w:rsidRDefault="003936AB" w:rsidP="003936AB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 xml:space="preserve">The following </w:t>
            </w:r>
            <w:r w:rsidRPr="000C24BA">
              <w:rPr>
                <w:rFonts w:asciiTheme="minorHAnsi" w:hAnsiTheme="minorHAnsi"/>
                <w:sz w:val="20"/>
                <w:szCs w:val="20"/>
              </w:rPr>
              <w:t xml:space="preserve">is taken from the TIS Output spec document and </w:t>
            </w:r>
            <w:r w:rsidRPr="000C24BA">
              <w:rPr>
                <w:rFonts w:asciiTheme="minorHAnsi" w:hAnsiTheme="minorHAnsi"/>
                <w:sz w:val="20"/>
                <w:szCs w:val="20"/>
              </w:rPr>
              <w:t>indicates the construction of a training programme</w:t>
            </w:r>
            <w:r w:rsidRPr="000C24BA">
              <w:rPr>
                <w:rFonts w:asciiTheme="minorHAnsi" w:hAnsiTheme="minorHAnsi"/>
                <w:sz w:val="20"/>
                <w:szCs w:val="20"/>
              </w:rPr>
              <w:t xml:space="preserve"> (note this is not exhaustive):</w:t>
            </w:r>
            <w:r w:rsidRPr="000C24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36AB" w:rsidRPr="000C24BA" w:rsidRDefault="003936AB" w:rsidP="003936AB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A training programme:</w:t>
            </w:r>
          </w:p>
          <w:p w:rsidR="003936AB" w:rsidRPr="000C24BA" w:rsidRDefault="003936AB" w:rsidP="003936AB">
            <w:pPr>
              <w:pStyle w:val="RPN2"/>
              <w:rPr>
                <w:rFonts w:asciiTheme="minorHAnsi" w:hAnsiTheme="minorHAnsi"/>
                <w:sz w:val="20"/>
                <w:szCs w:val="20"/>
              </w:rPr>
            </w:pP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May be fully or partially derived from the curricula.</w:t>
            </w: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May hold the “stock” – or capacity, or commissions – of learner numbers that indicate the ceiling for training programme, or cohort.  A training number could be held by named learner, or may be allocated as a “counter”.</w:t>
            </w: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Training posts, which for some learner-types inherits detail from the training programme.  Within some training programmes the training post is a critical item of that connects the learner to a placement.  Currently, posts are only necessary for directly managed learners.</w:t>
            </w: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Training placements represent the instance of a learner being trained and educated.  It may also represent a non-training event e.g. a break from training.</w:t>
            </w: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 xml:space="preserve">Approvals cover a series of processes whereby all, or elements of, a training programme are approved as being legitimate or fit for purpose.  </w:t>
            </w:r>
          </w:p>
          <w:p w:rsidR="003936AB" w:rsidRPr="000C24BA" w:rsidRDefault="003936AB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May hold the specialisms/specialties, sub specialties and special interest attributes (which may be a feature of curricula).</w:t>
            </w:r>
          </w:p>
          <w:p w:rsidR="00086B70" w:rsidRPr="000C24BA" w:rsidRDefault="00086B70" w:rsidP="003936AB">
            <w:pPr>
              <w:pStyle w:val="RPN2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The system should allow programme management (and parts thereof) to be syndicated to third parties, such as “lead employers”</w:t>
            </w:r>
          </w:p>
          <w:p w:rsidR="003936AB" w:rsidRPr="000C24BA" w:rsidRDefault="003936AB" w:rsidP="003936AB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3936AB" w:rsidRPr="000C24BA" w:rsidRDefault="003936AB" w:rsidP="003936AB">
            <w:pPr>
              <w:pStyle w:val="RPN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C24BA">
              <w:rPr>
                <w:rFonts w:asciiTheme="minorHAnsi" w:hAnsiTheme="minorHAnsi"/>
                <w:sz w:val="20"/>
                <w:szCs w:val="20"/>
              </w:rPr>
              <w:t>However, as a basic system principle any learner must belong to a training programme as the programme provides the “reason for being”.</w:t>
            </w:r>
          </w:p>
          <w:p w:rsidR="003936AB" w:rsidRPr="000C24BA" w:rsidRDefault="003936AB" w:rsidP="00403236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A460F8" w:rsidRPr="000C24BA" w:rsidRDefault="00A460F8">
            <w:pPr>
              <w:rPr>
                <w:sz w:val="20"/>
                <w:szCs w:val="20"/>
              </w:rPr>
            </w:pPr>
          </w:p>
        </w:tc>
      </w:tr>
      <w:tr w:rsidR="00554F7E" w:rsidTr="00A44756">
        <w:tc>
          <w:tcPr>
            <w:tcW w:w="186" w:type="pct"/>
          </w:tcPr>
          <w:p w:rsidR="00554F7E" w:rsidRPr="000C24BA" w:rsidRDefault="00554F7E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41" w:type="pct"/>
          </w:tcPr>
          <w:p w:rsidR="00554F7E" w:rsidRPr="000C24BA" w:rsidRDefault="00554F7E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Interfaces</w:t>
            </w:r>
          </w:p>
        </w:tc>
        <w:tc>
          <w:tcPr>
            <w:tcW w:w="2111" w:type="pct"/>
          </w:tcPr>
          <w:p w:rsidR="00554F7E" w:rsidRPr="000C24BA" w:rsidRDefault="00554F7E" w:rsidP="00554F7E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Must be able to </w:t>
            </w:r>
            <w:r w:rsidRPr="000C24BA">
              <w:rPr>
                <w:sz w:val="20"/>
                <w:szCs w:val="20"/>
              </w:rPr>
              <w:t>receive and pass data with ESR via the Streamlined ESR and Deanery interface</w:t>
            </w:r>
          </w:p>
        </w:tc>
        <w:tc>
          <w:tcPr>
            <w:tcW w:w="1562" w:type="pct"/>
          </w:tcPr>
          <w:p w:rsidR="00554F7E" w:rsidRPr="000C24BA" w:rsidRDefault="00554F7E">
            <w:pPr>
              <w:rPr>
                <w:sz w:val="20"/>
                <w:szCs w:val="20"/>
              </w:rPr>
            </w:pPr>
          </w:p>
        </w:tc>
      </w:tr>
    </w:tbl>
    <w:p w:rsidR="00784C69" w:rsidRDefault="00784C69"/>
    <w:sectPr w:rsidR="00784C69" w:rsidSect="00AE0E8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8D" w:rsidRDefault="0078038D" w:rsidP="00806374">
      <w:pPr>
        <w:spacing w:after="0" w:line="240" w:lineRule="auto"/>
      </w:pPr>
      <w:r>
        <w:separator/>
      </w:r>
    </w:p>
  </w:endnote>
  <w:endnote w:type="continuationSeparator" w:id="0">
    <w:p w:rsidR="0078038D" w:rsidRDefault="0078038D" w:rsidP="008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Footer"/>
    </w:pPr>
    <w:r w:rsidRPr="00A10735">
      <w:t>TIS - high level components - V0.</w:t>
    </w:r>
    <w:r w:rsidR="005A55B4">
      <w:t>2</w:t>
    </w:r>
  </w:p>
  <w:p w:rsidR="00A10735" w:rsidRDefault="00A1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8D" w:rsidRDefault="0078038D" w:rsidP="00806374">
      <w:pPr>
        <w:spacing w:after="0" w:line="240" w:lineRule="auto"/>
      </w:pPr>
      <w:r>
        <w:separator/>
      </w:r>
    </w:p>
  </w:footnote>
  <w:footnote w:type="continuationSeparator" w:id="0">
    <w:p w:rsidR="0078038D" w:rsidRDefault="0078038D" w:rsidP="008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4" w:rsidRPr="00806374" w:rsidRDefault="00806374" w:rsidP="00806374">
    <w:pPr>
      <w:pStyle w:val="Header"/>
      <w:jc w:val="center"/>
      <w:rPr>
        <w:sz w:val="32"/>
        <w:szCs w:val="32"/>
      </w:rPr>
    </w:pPr>
    <w:r w:rsidRPr="00806374">
      <w:rPr>
        <w:sz w:val="32"/>
        <w:szCs w:val="32"/>
      </w:rPr>
      <w:t>TIS – high level components</w:t>
    </w:r>
    <w:r w:rsidR="005A55B4">
      <w:rPr>
        <w:sz w:val="32"/>
        <w:szCs w:val="32"/>
      </w:rPr>
      <w:t xml:space="preserve"> – V0.2</w:t>
    </w:r>
  </w:p>
  <w:p w:rsidR="00806374" w:rsidRDefault="00806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9EE"/>
    <w:multiLevelType w:val="hybridMultilevel"/>
    <w:tmpl w:val="BFBE6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4673F"/>
    <w:multiLevelType w:val="hybridMultilevel"/>
    <w:tmpl w:val="4936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59C5"/>
    <w:multiLevelType w:val="hybridMultilevel"/>
    <w:tmpl w:val="5218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3588"/>
    <w:multiLevelType w:val="hybridMultilevel"/>
    <w:tmpl w:val="AD343C6C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748A115C"/>
    <w:multiLevelType w:val="hybridMultilevel"/>
    <w:tmpl w:val="49AE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F"/>
    <w:rsid w:val="000370CC"/>
    <w:rsid w:val="00053024"/>
    <w:rsid w:val="00066BF2"/>
    <w:rsid w:val="00076E9F"/>
    <w:rsid w:val="00086B70"/>
    <w:rsid w:val="000C24BA"/>
    <w:rsid w:val="000D04A4"/>
    <w:rsid w:val="000D4E73"/>
    <w:rsid w:val="000E6011"/>
    <w:rsid w:val="001771CA"/>
    <w:rsid w:val="0027574F"/>
    <w:rsid w:val="002B79D2"/>
    <w:rsid w:val="002E3358"/>
    <w:rsid w:val="003702D8"/>
    <w:rsid w:val="00375555"/>
    <w:rsid w:val="003936AB"/>
    <w:rsid w:val="003D6F8F"/>
    <w:rsid w:val="00403236"/>
    <w:rsid w:val="00433E6B"/>
    <w:rsid w:val="004B50A4"/>
    <w:rsid w:val="00500C88"/>
    <w:rsid w:val="005251E2"/>
    <w:rsid w:val="00537C07"/>
    <w:rsid w:val="00554F7E"/>
    <w:rsid w:val="00555FA6"/>
    <w:rsid w:val="0058779C"/>
    <w:rsid w:val="005A55B4"/>
    <w:rsid w:val="00610869"/>
    <w:rsid w:val="0061291A"/>
    <w:rsid w:val="00675080"/>
    <w:rsid w:val="00681546"/>
    <w:rsid w:val="007170BB"/>
    <w:rsid w:val="007331D7"/>
    <w:rsid w:val="0078038D"/>
    <w:rsid w:val="00784C69"/>
    <w:rsid w:val="00797863"/>
    <w:rsid w:val="00806374"/>
    <w:rsid w:val="00833C6C"/>
    <w:rsid w:val="008344B2"/>
    <w:rsid w:val="00844D3C"/>
    <w:rsid w:val="00885D6B"/>
    <w:rsid w:val="008A3CA5"/>
    <w:rsid w:val="008C511B"/>
    <w:rsid w:val="008D12B1"/>
    <w:rsid w:val="009267EB"/>
    <w:rsid w:val="00942BE4"/>
    <w:rsid w:val="00A10735"/>
    <w:rsid w:val="00A44756"/>
    <w:rsid w:val="00A460F8"/>
    <w:rsid w:val="00AB1800"/>
    <w:rsid w:val="00AC3842"/>
    <w:rsid w:val="00AD3217"/>
    <w:rsid w:val="00AE0E88"/>
    <w:rsid w:val="00AE4518"/>
    <w:rsid w:val="00AF31B2"/>
    <w:rsid w:val="00B5640F"/>
    <w:rsid w:val="00BC6CCF"/>
    <w:rsid w:val="00BD3E21"/>
    <w:rsid w:val="00CF093F"/>
    <w:rsid w:val="00CF3514"/>
    <w:rsid w:val="00CF78CF"/>
    <w:rsid w:val="00D4531D"/>
    <w:rsid w:val="00D64B26"/>
    <w:rsid w:val="00D75B03"/>
    <w:rsid w:val="00D85855"/>
    <w:rsid w:val="00DC1F38"/>
    <w:rsid w:val="00F84D18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77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7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8779C"/>
    <w:rPr>
      <w:vertAlign w:val="superscript"/>
    </w:rPr>
  </w:style>
  <w:style w:type="paragraph" w:customStyle="1" w:styleId="RPN2">
    <w:name w:val="RP N2"/>
    <w:basedOn w:val="Normal"/>
    <w:link w:val="RPN2Char"/>
    <w:qFormat/>
    <w:rsid w:val="0058779C"/>
    <w:pPr>
      <w:spacing w:after="0" w:line="240" w:lineRule="auto"/>
      <w:ind w:left="794"/>
    </w:pPr>
    <w:rPr>
      <w:rFonts w:ascii="Arial" w:eastAsia="Times New Roman" w:hAnsi="Arial" w:cs="Times New Roman"/>
      <w:szCs w:val="24"/>
      <w:lang w:eastAsia="en-GB"/>
    </w:rPr>
  </w:style>
  <w:style w:type="character" w:customStyle="1" w:styleId="RPN2Char">
    <w:name w:val="RP N2 Char"/>
    <w:basedOn w:val="DefaultParagraphFont"/>
    <w:link w:val="RPN2"/>
    <w:rsid w:val="0058779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77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7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8779C"/>
    <w:rPr>
      <w:vertAlign w:val="superscript"/>
    </w:rPr>
  </w:style>
  <w:style w:type="paragraph" w:customStyle="1" w:styleId="RPN2">
    <w:name w:val="RP N2"/>
    <w:basedOn w:val="Normal"/>
    <w:link w:val="RPN2Char"/>
    <w:qFormat/>
    <w:rsid w:val="0058779C"/>
    <w:pPr>
      <w:spacing w:after="0" w:line="240" w:lineRule="auto"/>
      <w:ind w:left="794"/>
    </w:pPr>
    <w:rPr>
      <w:rFonts w:ascii="Arial" w:eastAsia="Times New Roman" w:hAnsi="Arial" w:cs="Times New Roman"/>
      <w:szCs w:val="24"/>
      <w:lang w:eastAsia="en-GB"/>
    </w:rPr>
  </w:style>
  <w:style w:type="character" w:customStyle="1" w:styleId="RPN2Char">
    <w:name w:val="RP N2 Char"/>
    <w:basedOn w:val="DefaultParagraphFont"/>
    <w:link w:val="RPN2"/>
    <w:rsid w:val="0058779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3CE1-F3E7-44BD-B28D-83FECEA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Joanne (Health Education North East)</dc:creator>
  <cp:lastModifiedBy>Watson Joanne (Health Education North East)</cp:lastModifiedBy>
  <cp:revision>42</cp:revision>
  <dcterms:created xsi:type="dcterms:W3CDTF">2016-10-31T14:22:00Z</dcterms:created>
  <dcterms:modified xsi:type="dcterms:W3CDTF">2016-10-31T18:13:00Z</dcterms:modified>
</cp:coreProperties>
</file>